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EA" w:rsidRPr="005D7DF8" w:rsidRDefault="005D7DF8">
      <w:pPr>
        <w:pStyle w:val="Table"/>
        <w:rPr>
          <w:b/>
        </w:rPr>
      </w:pPr>
      <w:r w:rsidRPr="005D7DF8">
        <w:rPr>
          <w:b/>
        </w:rPr>
        <w:t>Calendar Input 2021-22</w:t>
      </w:r>
      <w:r w:rsidR="004A7A7F" w:rsidRPr="005D7DF8">
        <w:rPr>
          <w:b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F66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1350"/>
              <w:gridCol w:w="811"/>
              <w:gridCol w:w="1259"/>
              <w:gridCol w:w="3638"/>
            </w:tblGrid>
            <w:tr w:rsidR="00F663AA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A94AEA" w:rsidRDefault="004A7A7F">
                  <w:pPr>
                    <w:pStyle w:val="Td"/>
                  </w:pPr>
                  <w:r>
                    <w:rPr>
                      <w:b/>
                      <w:bCs/>
                    </w:rPr>
                    <w:t>Q1. How would you rate your satisfaction with the draft of the calendar?</w:t>
                  </w:r>
                </w:p>
              </w:tc>
            </w:tr>
            <w:tr w:rsidR="00F663AA" w:rsidTr="005D7DF8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4A7A7F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F663AA" w:rsidTr="005D7DF8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</w:pPr>
                  <w:r>
                    <w:t>1 - Very Dissatisfied</w:t>
                  </w:r>
                </w:p>
              </w:tc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58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2.3%</w:t>
                  </w:r>
                </w:p>
              </w:tc>
              <w:tc>
                <w:tcPr>
                  <w:tcW w:w="1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B14FF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180975"/>
                        <wp:effectExtent l="0" t="0" r="0" b="0"/>
                        <wp:docPr id="644" name="Picture 6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3AA" w:rsidTr="005D7DF8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119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4.7%</w:t>
                  </w:r>
                </w:p>
              </w:tc>
              <w:tc>
                <w:tcPr>
                  <w:tcW w:w="1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B14FF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" cy="180975"/>
                        <wp:effectExtent l="0" t="0" r="0" b="0"/>
                        <wp:docPr id="645" name="Picture 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3AA" w:rsidTr="005D7DF8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551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21.6%</w:t>
                  </w:r>
                </w:p>
              </w:tc>
              <w:tc>
                <w:tcPr>
                  <w:tcW w:w="1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B14FF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180975"/>
                        <wp:effectExtent l="0" t="0" r="0" b="0"/>
                        <wp:docPr id="646" name="Picture 6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3AA" w:rsidTr="005D7DF8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854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33.5%</w:t>
                  </w:r>
                </w:p>
              </w:tc>
              <w:tc>
                <w:tcPr>
                  <w:tcW w:w="1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B14FF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5350" cy="180975"/>
                        <wp:effectExtent l="0" t="0" r="0" b="0"/>
                        <wp:docPr id="647" name="Picture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3AA" w:rsidTr="005D7DF8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</w:pPr>
                  <w:r>
                    <w:t>5 - Very Satisfied</w:t>
                  </w:r>
                </w:p>
              </w:tc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967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center"/>
                  </w:pPr>
                  <w:r>
                    <w:t>37.9%</w:t>
                  </w:r>
                </w:p>
              </w:tc>
              <w:tc>
                <w:tcPr>
                  <w:tcW w:w="1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AB14FF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50" cy="180975"/>
                        <wp:effectExtent l="0" t="0" r="0" b="0"/>
                        <wp:docPr id="648" name="Picture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63AA" w:rsidTr="005D7DF8">
              <w:tc>
                <w:tcPr>
                  <w:tcW w:w="236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Default="004A7A7F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4.00</w:t>
                  </w:r>
                </w:p>
              </w:tc>
              <w:tc>
                <w:tcPr>
                  <w:tcW w:w="263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A94AEA" w:rsidRPr="005D7DF8" w:rsidRDefault="004A7A7F" w:rsidP="005D7DF8">
                  <w:pPr>
                    <w:pStyle w:val="Td"/>
                    <w:jc w:val="right"/>
                    <w:rPr>
                      <w:b/>
                    </w:rPr>
                  </w:pPr>
                  <w:r w:rsidRPr="005D7DF8">
                    <w:rPr>
                      <w:b/>
                    </w:rPr>
                    <w:t> </w:t>
                  </w:r>
                  <w:r w:rsidR="005D7DF8" w:rsidRPr="005D7DF8">
                    <w:rPr>
                      <w:b/>
                    </w:rPr>
                    <w:t xml:space="preserve"> Total Responses: 2,549</w:t>
                  </w:r>
                </w:p>
              </w:tc>
            </w:tr>
          </w:tbl>
          <w:p w:rsidR="00A94AEA" w:rsidRDefault="0062488E">
            <w:pPr>
              <w:pStyle w:val="Table"/>
            </w:pPr>
          </w:p>
        </w:tc>
      </w:tr>
    </w:tbl>
    <w:p w:rsidR="005D7DF8" w:rsidRDefault="005D7DF8" w:rsidP="00EB5A20">
      <w:bookmarkStart w:id="0" w:name="_GoBack"/>
      <w:bookmarkEnd w:id="0"/>
      <w:r>
        <w:br w:type="page"/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098"/>
        <w:gridCol w:w="599"/>
        <w:gridCol w:w="4321"/>
      </w:tblGrid>
      <w:tr w:rsidR="00F663AA" w:rsidTr="005D7D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lastRenderedPageBreak/>
              <w:t>Q3. I am:</w:t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Albemarle County Community Member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40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1.5%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8100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ACPS Employee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436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16.6%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381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ACPS Parent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1,657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63.2%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685925" cy="180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ACPS Parent &amp; Employee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193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7.4%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ACPS Student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295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11.3%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04800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 w:rsidTr="005D7DF8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2,621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t>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62488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F663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Q4. Gender/Sex</w:t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Female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2,115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82.3%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428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16.7%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47675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Non-binary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1.0%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8575" cy="1809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2,569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62488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F663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Q5. Ethnicity/Race</w:t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Asian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6.1%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Black/African American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8.5%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28600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Hispanic/Latino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8.5%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28600" cy="1809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Native American/Alaska Native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0.7%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9050" cy="1809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Native Hawaiian/</w:t>
            </w:r>
            <w:proofErr w:type="gramStart"/>
            <w:r>
              <w:t>Other</w:t>
            </w:r>
            <w:proofErr w:type="gramEnd"/>
            <w:r>
              <w:t xml:space="preserve"> Pacific Islander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0.4%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9525" cy="180975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White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2,008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80.1%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2,614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A94AEA" w:rsidRDefault="004A7A7F">
            <w:pPr>
              <w:pStyle w:val="Td"/>
            </w:pPr>
            <w:r>
              <w:t>Because multiple answers per participant are possible, the total percentage may exceed 100%.</w:t>
            </w:r>
          </w:p>
        </w:tc>
      </w:tr>
    </w:tbl>
    <w:p w:rsidR="00A94AEA" w:rsidRDefault="0062488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F663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Q6. In my household:</w:t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We primarily speak English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2,263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88.0%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343150" cy="1809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We primarily speak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4.7%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3825" cy="180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</w:pPr>
            <w:r>
              <w:t>We speak both English and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189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4A7A7F">
            <w:pPr>
              <w:pStyle w:val="Td"/>
              <w:jc w:val="center"/>
            </w:pPr>
            <w:r>
              <w:t>7.3%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AA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  <w:jc w:val="center"/>
            </w:pPr>
            <w:r>
              <w:rPr>
                <w:b/>
                <w:bCs/>
              </w:rPr>
              <w:t>2,572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4A7A7F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AB14FF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62488E"/>
    <w:p w:rsidR="00A94AEA" w:rsidRDefault="0062488E"/>
    <w:sectPr w:rsidR="00A94AEA" w:rsidSect="005D7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8E" w:rsidRDefault="0062488E">
      <w:r>
        <w:separator/>
      </w:r>
    </w:p>
  </w:endnote>
  <w:endnote w:type="continuationSeparator" w:id="0">
    <w:p w:rsidR="0062488E" w:rsidRDefault="006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624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624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62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8E" w:rsidRDefault="0062488E">
      <w:r>
        <w:separator/>
      </w:r>
    </w:p>
  </w:footnote>
  <w:footnote w:type="continuationSeparator" w:id="0">
    <w:p w:rsidR="0062488E" w:rsidRDefault="0062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624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624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624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2124A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E6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E6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A2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20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84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61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D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B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8B2"/>
    <w:multiLevelType w:val="hybridMultilevel"/>
    <w:tmpl w:val="9112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65B"/>
    <w:multiLevelType w:val="hybridMultilevel"/>
    <w:tmpl w:val="E912FA10"/>
    <w:lvl w:ilvl="0" w:tplc="26B41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829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D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3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4B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65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23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47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47C60"/>
    <w:multiLevelType w:val="hybridMultilevel"/>
    <w:tmpl w:val="7952BBF8"/>
    <w:lvl w:ilvl="0" w:tplc="3320D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C10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8B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AD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63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21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6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E4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AA"/>
    <w:rsid w:val="0028175F"/>
    <w:rsid w:val="004A7A7F"/>
    <w:rsid w:val="005D7DF8"/>
    <w:rsid w:val="0062488E"/>
    <w:rsid w:val="00A64D63"/>
    <w:rsid w:val="00AB14FF"/>
    <w:rsid w:val="00D30982"/>
    <w:rsid w:val="00EB5A20"/>
    <w:rsid w:val="00F66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E13E"/>
  <w15:docId w15:val="{6C3DE1FA-B928-457D-AB9D-8C2460F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dsmallfont">
    <w:name w:val="Td_smallfont"/>
    <w:basedOn w:val="Td"/>
    <w:rPr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443D-91A4-4820-A98E-71327C2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jjoshi</dc:creator>
  <cp:lastModifiedBy>Patrick McLaughlin</cp:lastModifiedBy>
  <cp:revision>2</cp:revision>
  <cp:lastPrinted>2012-09-21T14:27:00Z</cp:lastPrinted>
  <dcterms:created xsi:type="dcterms:W3CDTF">2021-02-05T14:06:00Z</dcterms:created>
  <dcterms:modified xsi:type="dcterms:W3CDTF">2021-02-05T14:06:00Z</dcterms:modified>
</cp:coreProperties>
</file>